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24"/>
        </w:rPr>
        <w:t>INFORME EJECUTIVO</w:t>
      </w:r>
    </w:p>
    <w:p>
      <w:pPr>
        <w:jc w:val="center"/>
      </w:pPr>
      <w:r>
        <w:rPr>
          <w:b/>
          <w:sz w:val="44"/>
        </w:rPr>
        <w:t>Riesgo fitosanitario en semillas de hortalizas importadas a Ecuador</w:t>
      </w:r>
    </w:p>
    <w:p>
      <w:pPr>
        <w:jc w:val="center"/>
      </w:pPr>
      <w:r>
        <w:rPr>
          <w:i/>
          <w:color w:val="595959"/>
          <w:sz w:val="21"/>
        </w:rPr>
        <w:t>Enfoque: prevención de introducción de plagas y enfermedades asociadas o transmisibles por semilla</w:t>
      </w:r>
    </w:p>
    <w:p/>
    <w:p>
      <w:pPr>
        <w:pStyle w:val="Heading1"/>
      </w:pPr>
      <w:r>
        <w:t>1. Resumen ejecutivo</w:t>
      </w:r>
    </w:p>
    <w:p>
      <w:r>
        <w:t>La importación de semillas hortícolas es estratégica para la productividad agrícola del Ecuador, pero también constituye una vía potencial de entrada de organismos nocivos exóticos. El riesgo es particularmente relevante porque la semilla se destina a siembra: un patógeno viable puede llegar directamente a un hospedero susceptible, multiplicarse en semilleros o invernaderos y posteriormente dispersarse hacia zonas productoras.</w:t>
      </w:r>
    </w:p>
    <w:p>
      <w:r>
        <w:t>La gestión moderna del riesgo debe basarse en la combinación especie vegetal - país de origen - plaga - lote - uso previsto. La NIMF 38 de la Convención Internacional de Protección Fitosanitaria (CIPF) establece el marco específico para el movimiento internacional de semillas y contempla inspección, muestreo, pruebas diagnósticas, certificación, tratamientos y medidas integradas de mitigación.</w:t>
      </w:r>
    </w:p>
    <w:p>
      <w:pPr>
        <w:pStyle w:val="Heading1"/>
      </w:pPr>
      <w:r>
        <w:t>2. Hortalizas que requieren mayor atención</w:t>
      </w:r>
    </w:p>
    <w:p>
      <w:r>
        <w:t>Para importaciones hacia Ecuador, la vigilancia debería priorizar tomate, pimiento/ají, sandía, melón, pepino y otras cucurbitáceas, cebolla, zanahoria, lechuga, brócoli, coliflor, repollo, espinaca, fréjol y arveja. El nivel de control debe ajustarse al origen y a los requisitos fitosanitarios oficiales aplicables.</w:t>
      </w:r>
    </w:p>
    <w:tbl>
      <w:tblPr>
        <w:tblStyle w:val="TableGrid"/>
        <w:tblW w:type="auto" w:w="0"/>
        <w:jc w:val="center"/>
        <w:tblLook w:firstColumn="1" w:firstRow="1" w:lastColumn="0" w:lastRow="0" w:noHBand="0" w:noVBand="1" w:val="04A0"/>
      </w:tblPr>
      <w:tblGrid>
        <w:gridCol w:w="1800"/>
        <w:gridCol w:w="7632"/>
        <w:gridCol w:w="1440"/>
      </w:tblGrid>
      <w:tr>
        <w:tc>
          <w:tcPr>
            <w:tcW w:type="dxa" w:w="3408"/>
          </w:tcPr>
          <w:p>
            <w:r>
              <w:rPr>
                <w:b/>
                <w:sz w:val="17"/>
              </w:rPr>
              <w:t>Cultivo</w:t>
            </w:r>
          </w:p>
        </w:tc>
        <w:tc>
          <w:tcPr>
            <w:tcW w:type="dxa" w:w="3408"/>
          </w:tcPr>
          <w:p>
            <w:r>
              <w:rPr>
                <w:b/>
                <w:sz w:val="17"/>
              </w:rPr>
              <w:t>Amenazas prioritarias para vigilancia</w:t>
            </w:r>
          </w:p>
        </w:tc>
        <w:tc>
          <w:tcPr>
            <w:tcW w:type="dxa" w:w="3408"/>
          </w:tcPr>
          <w:p>
            <w:r>
              <w:rPr>
                <w:b/>
                <w:sz w:val="17"/>
              </w:rPr>
              <w:t>Riesgo técnico</w:t>
            </w:r>
          </w:p>
        </w:tc>
      </w:tr>
      <w:tr>
        <w:tc>
          <w:tcPr>
            <w:tcW w:type="dxa" w:w="3408"/>
            <w:vAlign w:val="center"/>
          </w:tcPr>
          <w:p>
            <w:r>
              <w:rPr>
                <w:sz w:val="16"/>
              </w:rPr>
              <w:t>Tomate</w:t>
            </w:r>
          </w:p>
        </w:tc>
        <w:tc>
          <w:tcPr>
            <w:tcW w:type="dxa" w:w="3408"/>
            <w:vAlign w:val="center"/>
          </w:tcPr>
          <w:p>
            <w:r>
              <w:rPr>
                <w:sz w:val="16"/>
              </w:rPr>
              <w:t>ToBRFV; ToMV; PSTVd; Clavibacter michiganensis; Xanthomonas spp.</w:t>
            </w:r>
          </w:p>
        </w:tc>
        <w:tc>
          <w:tcPr>
            <w:tcW w:type="dxa" w:w="3408"/>
            <w:vAlign w:val="center"/>
          </w:tcPr>
          <w:p>
            <w:r>
              <w:rPr>
                <w:sz w:val="16"/>
              </w:rPr>
              <w:t>MUY ALTO</w:t>
            </w:r>
          </w:p>
        </w:tc>
      </w:tr>
      <w:tr>
        <w:tc>
          <w:tcPr>
            <w:tcW w:type="dxa" w:w="3408"/>
            <w:vAlign w:val="center"/>
          </w:tcPr>
          <w:p>
            <w:r>
              <w:rPr>
                <w:sz w:val="16"/>
              </w:rPr>
              <w:t>Pimiento / ají</w:t>
            </w:r>
          </w:p>
        </w:tc>
        <w:tc>
          <w:tcPr>
            <w:tcW w:type="dxa" w:w="3408"/>
            <w:vAlign w:val="center"/>
          </w:tcPr>
          <w:p>
            <w:r>
              <w:rPr>
                <w:sz w:val="16"/>
              </w:rPr>
              <w:t>ToBRFV; PMMoV; Xanthomonas spp.; viroides</w:t>
            </w:r>
          </w:p>
        </w:tc>
        <w:tc>
          <w:tcPr>
            <w:tcW w:type="dxa" w:w="3408"/>
            <w:vAlign w:val="center"/>
          </w:tcPr>
          <w:p>
            <w:r>
              <w:rPr>
                <w:sz w:val="16"/>
              </w:rPr>
              <w:t>MUY ALTO</w:t>
            </w:r>
          </w:p>
        </w:tc>
      </w:tr>
      <w:tr>
        <w:tc>
          <w:tcPr>
            <w:tcW w:type="dxa" w:w="3408"/>
            <w:vAlign w:val="center"/>
          </w:tcPr>
          <w:p>
            <w:r>
              <w:rPr>
                <w:sz w:val="16"/>
              </w:rPr>
              <w:t>Sandía / melón</w:t>
            </w:r>
          </w:p>
        </w:tc>
        <w:tc>
          <w:tcPr>
            <w:tcW w:type="dxa" w:w="3408"/>
            <w:vAlign w:val="center"/>
          </w:tcPr>
          <w:p>
            <w:r>
              <w:rPr>
                <w:sz w:val="16"/>
              </w:rPr>
              <w:t>CGMMV; SqMV; Acidovorax citrulli; MNSV</w:t>
            </w:r>
          </w:p>
        </w:tc>
        <w:tc>
          <w:tcPr>
            <w:tcW w:type="dxa" w:w="3408"/>
            <w:vAlign w:val="center"/>
          </w:tcPr>
          <w:p>
            <w:r>
              <w:rPr>
                <w:sz w:val="16"/>
              </w:rPr>
              <w:t>MUY ALTO</w:t>
            </w:r>
          </w:p>
        </w:tc>
      </w:tr>
      <w:tr>
        <w:tc>
          <w:tcPr>
            <w:tcW w:type="dxa" w:w="3408"/>
            <w:vAlign w:val="center"/>
          </w:tcPr>
          <w:p>
            <w:r>
              <w:rPr>
                <w:sz w:val="16"/>
              </w:rPr>
              <w:t>Pepino / cucurbitáceas</w:t>
            </w:r>
          </w:p>
        </w:tc>
        <w:tc>
          <w:tcPr>
            <w:tcW w:type="dxa" w:w="3408"/>
            <w:vAlign w:val="center"/>
          </w:tcPr>
          <w:p>
            <w:r>
              <w:rPr>
                <w:sz w:val="16"/>
              </w:rPr>
              <w:t>CGMMV; SqMV; Colletotrichum spp.; Didymella/Stagonosporopsis</w:t>
            </w:r>
          </w:p>
        </w:tc>
        <w:tc>
          <w:tcPr>
            <w:tcW w:type="dxa" w:w="3408"/>
            <w:vAlign w:val="center"/>
          </w:tcPr>
          <w:p>
            <w:r>
              <w:rPr>
                <w:sz w:val="16"/>
              </w:rPr>
              <w:t>ALTO</w:t>
            </w:r>
          </w:p>
        </w:tc>
      </w:tr>
      <w:tr>
        <w:tc>
          <w:tcPr>
            <w:tcW w:type="dxa" w:w="3408"/>
            <w:vAlign w:val="center"/>
          </w:tcPr>
          <w:p>
            <w:r>
              <w:rPr>
                <w:sz w:val="16"/>
              </w:rPr>
              <w:t>Brassicas</w:t>
            </w:r>
          </w:p>
        </w:tc>
        <w:tc>
          <w:tcPr>
            <w:tcW w:type="dxa" w:w="3408"/>
            <w:vAlign w:val="center"/>
          </w:tcPr>
          <w:p>
            <w:r>
              <w:rPr>
                <w:sz w:val="16"/>
              </w:rPr>
              <w:t>Xanthomonas campestris pv. campestris; Alternaria spp.; Leptosphaeria maculans</w:t>
            </w:r>
          </w:p>
        </w:tc>
        <w:tc>
          <w:tcPr>
            <w:tcW w:type="dxa" w:w="3408"/>
            <w:vAlign w:val="center"/>
          </w:tcPr>
          <w:p>
            <w:r>
              <w:rPr>
                <w:sz w:val="16"/>
              </w:rPr>
              <w:t>ALTO</w:t>
            </w:r>
          </w:p>
        </w:tc>
      </w:tr>
      <w:tr>
        <w:tc>
          <w:tcPr>
            <w:tcW w:type="dxa" w:w="3408"/>
            <w:vAlign w:val="center"/>
          </w:tcPr>
          <w:p>
            <w:r>
              <w:rPr>
                <w:sz w:val="16"/>
              </w:rPr>
              <w:t>Cebolla</w:t>
            </w:r>
          </w:p>
        </w:tc>
        <w:tc>
          <w:tcPr>
            <w:tcW w:type="dxa" w:w="3408"/>
            <w:vAlign w:val="center"/>
          </w:tcPr>
          <w:p>
            <w:r>
              <w:rPr>
                <w:sz w:val="16"/>
              </w:rPr>
              <w:t>Ditylenchus dipsaci; Stemphylium/Botrytis spp.</w:t>
            </w:r>
          </w:p>
        </w:tc>
        <w:tc>
          <w:tcPr>
            <w:tcW w:type="dxa" w:w="3408"/>
            <w:vAlign w:val="center"/>
          </w:tcPr>
          <w:p>
            <w:r>
              <w:rPr>
                <w:sz w:val="16"/>
              </w:rPr>
              <w:t>ALTO</w:t>
            </w:r>
          </w:p>
        </w:tc>
      </w:tr>
      <w:tr>
        <w:tc>
          <w:tcPr>
            <w:tcW w:type="dxa" w:w="3408"/>
            <w:vAlign w:val="center"/>
          </w:tcPr>
          <w:p>
            <w:r>
              <w:rPr>
                <w:sz w:val="16"/>
              </w:rPr>
              <w:t>Zanahoria</w:t>
            </w:r>
          </w:p>
        </w:tc>
        <w:tc>
          <w:tcPr>
            <w:tcW w:type="dxa" w:w="3408"/>
            <w:vAlign w:val="center"/>
          </w:tcPr>
          <w:p>
            <w:r>
              <w:rPr>
                <w:sz w:val="16"/>
              </w:rPr>
              <w:t>Xanthomonas hortorum pv. carotae; Alternaria dauci/radicina</w:t>
            </w:r>
          </w:p>
        </w:tc>
        <w:tc>
          <w:tcPr>
            <w:tcW w:type="dxa" w:w="3408"/>
            <w:vAlign w:val="center"/>
          </w:tcPr>
          <w:p>
            <w:r>
              <w:rPr>
                <w:sz w:val="16"/>
              </w:rPr>
              <w:t>ALTO</w:t>
            </w:r>
          </w:p>
        </w:tc>
      </w:tr>
      <w:tr>
        <w:tc>
          <w:tcPr>
            <w:tcW w:type="dxa" w:w="3408"/>
            <w:vAlign w:val="center"/>
          </w:tcPr>
          <w:p>
            <w:r>
              <w:rPr>
                <w:sz w:val="16"/>
              </w:rPr>
              <w:t>Lechuga</w:t>
            </w:r>
          </w:p>
        </w:tc>
        <w:tc>
          <w:tcPr>
            <w:tcW w:type="dxa" w:w="3408"/>
            <w:vAlign w:val="center"/>
          </w:tcPr>
          <w:p>
            <w:r>
              <w:rPr>
                <w:sz w:val="16"/>
              </w:rPr>
              <w:t>Lettuce mosaic virus (LMV) y hongos asociados a semilla</w:t>
            </w:r>
          </w:p>
        </w:tc>
        <w:tc>
          <w:tcPr>
            <w:tcW w:type="dxa" w:w="3408"/>
            <w:vAlign w:val="center"/>
          </w:tcPr>
          <w:p>
            <w:r>
              <w:rPr>
                <w:sz w:val="16"/>
              </w:rPr>
              <w:t>ALTO</w:t>
            </w:r>
          </w:p>
        </w:tc>
      </w:tr>
      <w:tr>
        <w:tc>
          <w:tcPr>
            <w:tcW w:type="dxa" w:w="3408"/>
            <w:vAlign w:val="center"/>
          </w:tcPr>
          <w:p>
            <w:r>
              <w:rPr>
                <w:sz w:val="16"/>
              </w:rPr>
              <w:t>Fréjol</w:t>
            </w:r>
          </w:p>
        </w:tc>
        <w:tc>
          <w:tcPr>
            <w:tcW w:type="dxa" w:w="3408"/>
            <w:vAlign w:val="center"/>
          </w:tcPr>
          <w:p>
            <w:r>
              <w:rPr>
                <w:sz w:val="16"/>
              </w:rPr>
              <w:t>BCMV; BCMNV; Xanthomonas spp.; Curtobacterium; Colletotrichum</w:t>
            </w:r>
          </w:p>
        </w:tc>
        <w:tc>
          <w:tcPr>
            <w:tcW w:type="dxa" w:w="3408"/>
            <w:vAlign w:val="center"/>
          </w:tcPr>
          <w:p>
            <w:r>
              <w:rPr>
                <w:sz w:val="16"/>
              </w:rPr>
              <w:t>MUY ALTO</w:t>
            </w:r>
          </w:p>
        </w:tc>
      </w:tr>
      <w:tr>
        <w:tc>
          <w:tcPr>
            <w:tcW w:type="dxa" w:w="3408"/>
            <w:vAlign w:val="center"/>
          </w:tcPr>
          <w:p>
            <w:r>
              <w:rPr>
                <w:sz w:val="16"/>
              </w:rPr>
              <w:t>Arveja</w:t>
            </w:r>
          </w:p>
        </w:tc>
        <w:tc>
          <w:tcPr>
            <w:tcW w:type="dxa" w:w="3408"/>
            <w:vAlign w:val="center"/>
          </w:tcPr>
          <w:p>
            <w:r>
              <w:rPr>
                <w:sz w:val="16"/>
              </w:rPr>
              <w:t>PSbMV; Pseudomonas; Didymella/Ascochyta</w:t>
            </w:r>
          </w:p>
        </w:tc>
        <w:tc>
          <w:tcPr>
            <w:tcW w:type="dxa" w:w="3408"/>
            <w:vAlign w:val="center"/>
          </w:tcPr>
          <w:p>
            <w:r>
              <w:rPr>
                <w:sz w:val="16"/>
              </w:rPr>
              <w:t>ALTO</w:t>
            </w:r>
          </w:p>
        </w:tc>
      </w:tr>
      <w:tr>
        <w:tc>
          <w:tcPr>
            <w:tcW w:type="dxa" w:w="3408"/>
            <w:vAlign w:val="center"/>
          </w:tcPr>
          <w:p>
            <w:r>
              <w:rPr>
                <w:sz w:val="16"/>
              </w:rPr>
              <w:t>Espinaca</w:t>
            </w:r>
          </w:p>
        </w:tc>
        <w:tc>
          <w:tcPr>
            <w:tcW w:type="dxa" w:w="3408"/>
            <w:vAlign w:val="center"/>
          </w:tcPr>
          <w:p>
            <w:r>
              <w:rPr>
                <w:sz w:val="16"/>
              </w:rPr>
              <w:t>Peronospora effusa</w:t>
            </w:r>
          </w:p>
        </w:tc>
        <w:tc>
          <w:tcPr>
            <w:tcW w:type="dxa" w:w="3408"/>
            <w:vAlign w:val="center"/>
          </w:tcPr>
          <w:p>
            <w:r>
              <w:rPr>
                <w:sz w:val="16"/>
              </w:rPr>
              <w:t>ALTO</w:t>
            </w:r>
          </w:p>
        </w:tc>
      </w:tr>
    </w:tbl>
    <w:p>
      <w:pPr>
        <w:pStyle w:val="Heading1"/>
      </w:pPr>
      <w:r>
        <w:t>3. Amenazas fitosanitarias prioritarias</w:t>
      </w:r>
    </w:p>
    <w:p>
      <w:r>
        <w:t>Los organismos de mayor preocupación incluyen virus y viroides altamente persistentes, bacterias que pueden estar interna o externamente asociadas a la semilla, hongos capaces de sobrevivir durante almacenamiento y nematodos o insectos que pueden acompañar al lote. Entre los objetivos de vigilancia más relevantes se encuentran ToBRFV, CGMMV, PMMoV, ToMV, PSTVd, Clavibacter michiganensis, Acidovorax citrulli, Xanthomonas spp., Xanthomonas campestris pv. campestris, Ditylenchus dipsaci, BCMV/BCMNV y PSbMV.</w:t>
      </w:r>
    </w:p>
    <w:p>
      <w:r>
        <w:t>Debe distinguirse entre: (a) organismo seed-borne o asociado a la semilla; (b) organismo realmente seed-transmitted, capaz de pasar de la semilla a la planta; y (c) contaminante del lote, como restos vegetales, suelo, esclerocios, insectos o semillas de malezas. Esta diferenciación es esencial para no sobredimensionar ni subestimar el riesgo.</w:t>
      </w:r>
    </w:p>
    <w:p>
      <w:pPr>
        <w:pStyle w:val="Heading1"/>
      </w:pPr>
      <w:r>
        <w:t>4. Modelo recomendado de control: cinco barreras</w:t>
      </w:r>
    </w:p>
    <w:p>
      <w:r>
        <w:rPr>
          <w:b/>
          <w:color w:val="1F4E79"/>
        </w:rPr>
        <w:t xml:space="preserve">1. Evaluación del origen. </w:t>
      </w:r>
      <w:r>
        <w:t>Verificar especie, país de producción, historial fitosanitario, productor, lote y plagas relevantes.</w:t>
      </w:r>
    </w:p>
    <w:p>
      <w:r>
        <w:rPr>
          <w:b/>
          <w:color w:val="1F4E79"/>
        </w:rPr>
        <w:t xml:space="preserve">2. Documentación oficial. </w:t>
      </w:r>
      <w:r>
        <w:t>Exigir Permiso Fitosanitario de Importación y certificado fitosanitario conforme a los requisitos de AGROCALIDAD.</w:t>
      </w:r>
    </w:p>
    <w:p>
      <w:r>
        <w:rPr>
          <w:b/>
          <w:color w:val="1F4E79"/>
        </w:rPr>
        <w:t xml:space="preserve">3. Muestreo representativo. </w:t>
      </w:r>
      <w:r>
        <w:t>Aplicar un plan de muestreo adecuado al tamaño del lote y al nivel de riesgo del patógeno objetivo.</w:t>
      </w:r>
    </w:p>
    <w:p>
      <w:r>
        <w:rPr>
          <w:b/>
          <w:color w:val="1F4E79"/>
        </w:rPr>
        <w:t xml:space="preserve">4. Diagnóstico dirigido. </w:t>
      </w:r>
      <w:r>
        <w:t>Seleccionar PCR/qPCR/RT-qPCR, ELISA, aislamiento, blotter test, microscopía o grow-out según el organismo.</w:t>
      </w:r>
    </w:p>
    <w:p>
      <w:r>
        <w:rPr>
          <w:b/>
          <w:color w:val="1F4E79"/>
        </w:rPr>
        <w:t xml:space="preserve">5. Decisión fitosanitaria. </w:t>
      </w:r>
      <w:r>
        <w:t>Liberar, tratar, reexportar, rechazar o aplicar medidas adicionales conforme al resultado y la normativa.</w:t>
      </w:r>
    </w:p>
    <w:p>
      <w:pPr>
        <w:pStyle w:val="Heading1"/>
      </w:pPr>
      <w:r>
        <w:t>5. Panel diagnóstico sugerido</w:t>
      </w:r>
    </w:p>
    <w:tbl>
      <w:tblPr>
        <w:tblStyle w:val="TableGrid"/>
        <w:tblW w:type="auto" w:w="0"/>
        <w:jc w:val="center"/>
        <w:tblLook w:firstColumn="1" w:firstRow="1" w:lastColumn="0" w:lastRow="0" w:noHBand="0" w:noVBand="1" w:val="04A0"/>
      </w:tblPr>
      <w:tblGrid>
        <w:gridCol w:w="3408"/>
        <w:gridCol w:w="3408"/>
        <w:gridCol w:w="3408"/>
      </w:tblGrid>
      <w:tr>
        <w:tc>
          <w:tcPr>
            <w:tcW w:type="dxa" w:w="3408"/>
          </w:tcPr>
          <w:p>
            <w:r>
              <w:rPr>
                <w:b/>
                <w:sz w:val="17"/>
              </w:rPr>
              <w:t>Grupo</w:t>
            </w:r>
          </w:p>
        </w:tc>
        <w:tc>
          <w:tcPr>
            <w:tcW w:type="dxa" w:w="3408"/>
          </w:tcPr>
          <w:p>
            <w:r>
              <w:rPr>
                <w:b/>
                <w:sz w:val="17"/>
              </w:rPr>
              <w:t>Método principal</w:t>
            </w:r>
          </w:p>
        </w:tc>
        <w:tc>
          <w:tcPr>
            <w:tcW w:type="dxa" w:w="3408"/>
          </w:tcPr>
          <w:p>
            <w:r>
              <w:rPr>
                <w:b/>
                <w:sz w:val="17"/>
              </w:rPr>
              <w:t>Aplicación</w:t>
            </w:r>
          </w:p>
        </w:tc>
      </w:tr>
      <w:tr>
        <w:tc>
          <w:tcPr>
            <w:tcW w:type="dxa" w:w="3408"/>
          </w:tcPr>
          <w:p>
            <w:r>
              <w:rPr>
                <w:sz w:val="16"/>
              </w:rPr>
              <w:t>Virus/viroides</w:t>
            </w:r>
          </w:p>
        </w:tc>
        <w:tc>
          <w:tcPr>
            <w:tcW w:type="dxa" w:w="3408"/>
          </w:tcPr>
          <w:p>
            <w:r>
              <w:rPr>
                <w:sz w:val="16"/>
              </w:rPr>
              <w:t>RT-qPCR / RT-PCR</w:t>
            </w:r>
          </w:p>
        </w:tc>
        <w:tc>
          <w:tcPr>
            <w:tcW w:type="dxa" w:w="3408"/>
          </w:tcPr>
          <w:p>
            <w:r>
              <w:rPr>
                <w:sz w:val="16"/>
              </w:rPr>
              <w:t>ToBRFV, CGMMV, PMMoV, ToMV, PSTVd y otros objetivos específicos.</w:t>
            </w:r>
          </w:p>
        </w:tc>
      </w:tr>
      <w:tr>
        <w:tc>
          <w:tcPr>
            <w:tcW w:type="dxa" w:w="3408"/>
          </w:tcPr>
          <w:p>
            <w:r>
              <w:rPr>
                <w:sz w:val="16"/>
              </w:rPr>
              <w:t>Bacterias</w:t>
            </w:r>
          </w:p>
        </w:tc>
        <w:tc>
          <w:tcPr>
            <w:tcW w:type="dxa" w:w="3408"/>
          </w:tcPr>
          <w:p>
            <w:r>
              <w:rPr>
                <w:sz w:val="16"/>
              </w:rPr>
              <w:t>qPCR/PCR + aislamiento cuando proceda</w:t>
            </w:r>
          </w:p>
        </w:tc>
        <w:tc>
          <w:tcPr>
            <w:tcW w:type="dxa" w:w="3408"/>
          </w:tcPr>
          <w:p>
            <w:r>
              <w:rPr>
                <w:sz w:val="16"/>
              </w:rPr>
              <w:t>Clavibacter, Acidovorax, Xanthomonas, Curtobacterium.</w:t>
            </w:r>
          </w:p>
        </w:tc>
      </w:tr>
      <w:tr>
        <w:tc>
          <w:tcPr>
            <w:tcW w:type="dxa" w:w="3408"/>
          </w:tcPr>
          <w:p>
            <w:r>
              <w:rPr>
                <w:sz w:val="16"/>
              </w:rPr>
              <w:t>Hongos/oomicetos</w:t>
            </w:r>
          </w:p>
        </w:tc>
        <w:tc>
          <w:tcPr>
            <w:tcW w:type="dxa" w:w="3408"/>
          </w:tcPr>
          <w:p>
            <w:r>
              <w:rPr>
                <w:sz w:val="16"/>
              </w:rPr>
              <w:t>Blotter, cultivo, microscopía y/o PCR</w:t>
            </w:r>
          </w:p>
        </w:tc>
        <w:tc>
          <w:tcPr>
            <w:tcW w:type="dxa" w:w="3408"/>
          </w:tcPr>
          <w:p>
            <w:r>
              <w:rPr>
                <w:sz w:val="16"/>
              </w:rPr>
              <w:t>Alternaria, Colletotrichum, Didymella/Stagonosporopsis, Leptosphaeria, Peronospora.</w:t>
            </w:r>
          </w:p>
        </w:tc>
      </w:tr>
      <w:tr>
        <w:tc>
          <w:tcPr>
            <w:tcW w:type="dxa" w:w="3408"/>
          </w:tcPr>
          <w:p>
            <w:r>
              <w:rPr>
                <w:sz w:val="16"/>
              </w:rPr>
              <w:t>Nematodos/insectos</w:t>
            </w:r>
          </w:p>
        </w:tc>
        <w:tc>
          <w:tcPr>
            <w:tcW w:type="dxa" w:w="3408"/>
          </w:tcPr>
          <w:p>
            <w:r>
              <w:rPr>
                <w:sz w:val="16"/>
              </w:rPr>
              <w:t>Inspección, extracción, identificación morfológica/molecular</w:t>
            </w:r>
          </w:p>
        </w:tc>
        <w:tc>
          <w:tcPr>
            <w:tcW w:type="dxa" w:w="3408"/>
          </w:tcPr>
          <w:p>
            <w:r>
              <w:rPr>
                <w:sz w:val="16"/>
              </w:rPr>
              <w:t>Ditylenchus y organismos infestantes del lote.</w:t>
            </w:r>
          </w:p>
        </w:tc>
      </w:tr>
    </w:tbl>
    <w:p>
      <w:pPr>
        <w:pStyle w:val="Heading1"/>
      </w:pPr>
      <w:r>
        <w:t>6. Priorización ejecutiva por nivel de riesgo</w:t>
      </w:r>
    </w:p>
    <w:p>
      <w:r>
        <w:rPr>
          <w:b/>
        </w:rPr>
        <w:t xml:space="preserve">NIVEL 1 - CONTROL REFORZADO: </w:t>
      </w:r>
      <w:r>
        <w:t>Tomate, pimiento, sandía, melón y pepino/cucurbitáceas cuando existan antecedentes de virus, viroides o bacterias de alto impacto.</w:t>
      </w:r>
    </w:p>
    <w:p>
      <w:r>
        <w:rPr>
          <w:b/>
        </w:rPr>
        <w:t xml:space="preserve">NIVEL 2 - CONTROL ALTO: </w:t>
      </w:r>
      <w:r>
        <w:t>Cebolla, zanahoria, brassicas, lechuga, espinaca, fréjol y arveja; panel diagnóstico ajustado al país de origen.</w:t>
      </w:r>
    </w:p>
    <w:p>
      <w:r>
        <w:rPr>
          <w:b/>
        </w:rPr>
        <w:t xml:space="preserve">NIVEL 3 - CONTROL CONVENCIONAL: </w:t>
      </w:r>
      <w:r>
        <w:t>Otras especies o combinaciones origen-cultivo cuyo análisis de riesgo determine menor probabilidad de introducción, manteniendo siempre los requisitos oficiales.</w:t>
      </w:r>
    </w:p>
    <w:p>
      <w:pPr>
        <w:pStyle w:val="Heading1"/>
      </w:pPr>
      <w:r>
        <w:t>7. Recomendaciones para importadores y autoridades</w:t>
      </w:r>
    </w:p>
    <w:p>
      <w:pPr>
        <w:pStyle w:val="ListBullet"/>
      </w:pPr>
      <w:r>
        <w:t>Construir una matriz cultivo - origen - patógeno para cada programa de importación.</w:t>
      </w:r>
    </w:p>
    <w:p>
      <w:pPr>
        <w:pStyle w:val="ListBullet"/>
      </w:pPr>
      <w:r>
        <w:t>Solicitar resultados sanitarios del lote emitidos por laboratorios competentes y trazables.</w:t>
      </w:r>
    </w:p>
    <w:p>
      <w:pPr>
        <w:pStyle w:val="ListBullet"/>
      </w:pPr>
      <w:r>
        <w:t>No asumir que un tratamiento de semilla elimina virus, viroides o infecciones internas.</w:t>
      </w:r>
    </w:p>
    <w:p>
      <w:pPr>
        <w:pStyle w:val="ListBullet"/>
      </w:pPr>
      <w:r>
        <w:t>Segregar y mantener trazabilidad de lotes de alto riesgo hasta su liberación.</w:t>
      </w:r>
    </w:p>
    <w:p>
      <w:pPr>
        <w:pStyle w:val="ListBullet"/>
      </w:pPr>
      <w:r>
        <w:t>Aplicar vigilancia posentrada o seguimiento en semillero cuando el ARP o el requisito oficial lo justifique.</w:t>
      </w:r>
    </w:p>
    <w:p>
      <w:pPr>
        <w:pStyle w:val="ListBullet"/>
      </w:pPr>
      <w:r>
        <w:t>Actualizar periódicamente el panel de organismos objetivo conforme cambien distribución geográfica y estatus regulatorio.</w:t>
      </w:r>
    </w:p>
    <w:p>
      <w:pPr>
        <w:pStyle w:val="Heading1"/>
      </w:pPr>
      <w:r>
        <w:t>8. Conclusión ejecutiva</w:t>
      </w:r>
    </w:p>
    <w:p>
      <w:r>
        <w:rPr>
          <w:b/>
        </w:rPr>
        <w:t>La prevención es económicamente superior a la erradicación.</w:t>
      </w:r>
      <w:r>
        <w:t xml:space="preserve"> En semillas hortícolas importadas, un lote contaminado puede convertirse en el punto inicial de una epidemia en semilleros, invernaderos y posteriormente zonas productoras. La estrategia más robusta para Ecuador combina análisis de riesgo de plagas, trazabilidad, certificación fitosanitaria, diagnóstico dirigido y vigilancia.</w:t>
      </w:r>
    </w:p>
    <w:p>
      <w:r>
        <w:t>La lista de organismos incluida en este informe es una priorización técnica y no sustituye la consulta del estatus cuarentenario ni de los requisitos oficiales vigentes de AGROCALIDAD para cada especie y país de origen.</w:t>
      </w:r>
    </w:p>
    <w:p>
      <w:pPr>
        <w:pStyle w:val="Heading1"/>
      </w:pPr>
      <w:r>
        <w:t>9. Fuentes técnicas y regulatorias</w:t>
      </w:r>
    </w:p>
    <w:p>
      <w:pPr>
        <w:pStyle w:val="ListBullet"/>
      </w:pPr>
      <w:r>
        <w:t>CIPF/IPPC. NIMF 38: Movimiento internacional de semillas. https://www.ippc.int/en/publications/84340/</w:t>
      </w:r>
    </w:p>
    <w:p>
      <w:pPr>
        <w:pStyle w:val="ListBullet"/>
      </w:pPr>
      <w:r>
        <w:t>AGROCALIDAD. Dirección de Control Fitosanitario. https://www.agrocalidad.gob.ec/direccion-de-control-fitosanitario/</w:t>
      </w:r>
    </w:p>
    <w:p>
      <w:pPr>
        <w:pStyle w:val="ListBullet"/>
      </w:pPr>
      <w:r>
        <w:t>AGROCALIDAD. Dirección de Vigilancia Fitosanitaria. https://www.agrocalidad.gob.ec/direccion-de-vigilancia-fitosanitaria/</w:t>
      </w:r>
    </w:p>
    <w:p>
      <w:pPr>
        <w:pStyle w:val="ListBullet"/>
      </w:pPr>
      <w:r>
        <w:t>AGROCALIDAD. Dirección de Diagnóstico Vegetal. https://www.agrocalidad.gob.ec/direccion-de-diagnistico-vegetal/</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Documento técnico ejecutivo | Agosto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b/>
        <w:color w:val="595959"/>
        <w:sz w:val="16"/>
      </w:rPr>
      <w:t>INFORME EJECUTIVO | BIOSEGURIDAD DE SEMILLAS - ECUADOR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